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1ADA" w:rsidRDefault="00EC1ADA" w:rsidP="00EC1ADA">
      <w:pPr>
        <w:jc w:val="center"/>
        <w:rPr>
          <w:rFonts w:ascii="Times New Roman" w:hAnsi="Times New Roman" w:cs="Times New Roman"/>
          <w:b/>
          <w:color w:val="000000"/>
          <w:sz w:val="32"/>
          <w:szCs w:val="32"/>
        </w:rPr>
      </w:pPr>
      <w:bookmarkStart w:id="0" w:name="_GoBack"/>
      <w:bookmarkEnd w:id="0"/>
      <w:r w:rsidRPr="00EC1ADA">
        <w:rPr>
          <w:rFonts w:ascii="Times New Roman" w:hAnsi="Times New Roman" w:cs="Times New Roman"/>
          <w:b/>
          <w:color w:val="000000"/>
          <w:sz w:val="32"/>
          <w:szCs w:val="32"/>
        </w:rPr>
        <w:t>Архитектурное и дизайн проектирование I</w:t>
      </w:r>
    </w:p>
    <w:p w:rsidR="00EC1ADA" w:rsidRPr="00EC1ADA" w:rsidRDefault="00EC1ADA" w:rsidP="00EC1ADA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ДЕТСКОЕ ИГРОВОЕ ПРОСТРАНСТВО</w:t>
      </w:r>
    </w:p>
    <w:p w:rsidR="0097771B" w:rsidRPr="00EC1ADA" w:rsidRDefault="004C0841" w:rsidP="0097771B">
      <w:pPr>
        <w:rPr>
          <w:rFonts w:ascii="Times New Roman" w:hAnsi="Times New Roman" w:cs="Times New Roman"/>
          <w:sz w:val="40"/>
          <w:szCs w:val="40"/>
          <w:lang w:val="kk-KZ"/>
        </w:rPr>
      </w:pPr>
      <w:r w:rsidRPr="00EC1ADA">
        <w:rPr>
          <w:rFonts w:ascii="Times New Roman" w:hAnsi="Times New Roman" w:cs="Times New Roman"/>
          <w:sz w:val="40"/>
          <w:szCs w:val="40"/>
        </w:rPr>
        <w:t xml:space="preserve">Задание </w:t>
      </w:r>
      <w:r w:rsidR="0097771B" w:rsidRPr="00EC1ADA">
        <w:rPr>
          <w:rFonts w:ascii="Times New Roman" w:hAnsi="Times New Roman" w:cs="Times New Roman"/>
          <w:sz w:val="40"/>
          <w:szCs w:val="40"/>
          <w:lang w:val="kk-KZ"/>
        </w:rPr>
        <w:t>1</w:t>
      </w:r>
      <w:r w:rsidR="00EC1ADA">
        <w:rPr>
          <w:rFonts w:ascii="Times New Roman" w:hAnsi="Times New Roman" w:cs="Times New Roman"/>
          <w:sz w:val="40"/>
          <w:szCs w:val="40"/>
          <w:lang w:val="kk-KZ"/>
        </w:rPr>
        <w:t>,2.</w:t>
      </w:r>
    </w:p>
    <w:p w:rsidR="0097771B" w:rsidRDefault="0097771B" w:rsidP="0097771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8"/>
          <w:szCs w:val="28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</w:rPr>
        <w:t>1 планшет:</w:t>
      </w:r>
    </w:p>
    <w:p w:rsidR="00EC1ADA" w:rsidRPr="00EC1ADA" w:rsidRDefault="00EC1ADA" w:rsidP="0097771B">
      <w:pPr>
        <w:autoSpaceDE w:val="0"/>
        <w:autoSpaceDN w:val="0"/>
        <w:adjustRightInd w:val="0"/>
        <w:spacing w:after="0" w:line="240" w:lineRule="auto"/>
        <w:rPr>
          <w:rFonts w:ascii="TimesNewRomanPS-BoldMT" w:hAnsi="TimesNewRomanPS-BoldMT" w:cs="TimesNewRomanPS-BoldMT"/>
          <w:b/>
          <w:bCs/>
          <w:sz w:val="28"/>
          <w:szCs w:val="28"/>
          <w:lang w:val="kk-KZ"/>
        </w:rPr>
      </w:pPr>
      <w:r>
        <w:rPr>
          <w:rFonts w:ascii="TimesNewRomanPS-BoldMT" w:hAnsi="TimesNewRomanPS-BoldMT" w:cs="TimesNewRomanPS-BoldMT"/>
          <w:b/>
          <w:bCs/>
          <w:sz w:val="28"/>
          <w:szCs w:val="28"/>
          <w:lang w:val="kk-KZ"/>
        </w:rPr>
        <w:t>Клаузура</w:t>
      </w:r>
    </w:p>
    <w:p w:rsidR="0097771B" w:rsidRDefault="0097771B" w:rsidP="0097771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SymbolMT" w:hAnsi="SymbolMT" w:cs="SymbolMT"/>
          <w:sz w:val="28"/>
          <w:szCs w:val="28"/>
        </w:rPr>
        <w:t xml:space="preserve">• </w:t>
      </w:r>
      <w:r>
        <w:rPr>
          <w:rFonts w:ascii="TimesNewRomanPSMT" w:hAnsi="TimesNewRomanPSMT" w:cs="TimesNewRomanPSMT"/>
          <w:sz w:val="28"/>
          <w:szCs w:val="28"/>
        </w:rPr>
        <w:t>макет в цвете М 1:50</w:t>
      </w:r>
    </w:p>
    <w:p w:rsidR="0097771B" w:rsidRDefault="0097771B" w:rsidP="0097771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SymbolMT" w:hAnsi="SymbolMT" w:cs="SymbolMT"/>
          <w:sz w:val="28"/>
          <w:szCs w:val="28"/>
        </w:rPr>
        <w:t xml:space="preserve">• </w:t>
      </w:r>
      <w:r>
        <w:rPr>
          <w:rFonts w:ascii="TimesNewRomanPSMT" w:hAnsi="TimesNewRomanPSMT" w:cs="TimesNewRomanPSMT"/>
          <w:sz w:val="28"/>
          <w:szCs w:val="28"/>
        </w:rPr>
        <w:t>упражнение объёмное, выполненное в макете(1-2)</w:t>
      </w:r>
    </w:p>
    <w:p w:rsidR="0097771B" w:rsidRDefault="0097771B" w:rsidP="0097771B">
      <w:pPr>
        <w:autoSpaceDE w:val="0"/>
        <w:autoSpaceDN w:val="0"/>
        <w:adjustRightInd w:val="0"/>
        <w:spacing w:after="0" w:line="240" w:lineRule="auto"/>
        <w:rPr>
          <w:rFonts w:ascii="TimesNewRomanPSMT" w:hAnsi="TimesNewRomanPSMT" w:cs="TimesNewRomanPSMT"/>
          <w:sz w:val="28"/>
          <w:szCs w:val="28"/>
        </w:rPr>
      </w:pPr>
      <w:r>
        <w:rPr>
          <w:rFonts w:ascii="SymbolMT" w:hAnsi="SymbolMT" w:cs="SymbolMT"/>
          <w:sz w:val="28"/>
          <w:szCs w:val="28"/>
        </w:rPr>
        <w:t xml:space="preserve">• </w:t>
      </w:r>
      <w:r>
        <w:rPr>
          <w:rFonts w:ascii="TimesNewRomanPSMT" w:hAnsi="TimesNewRomanPSMT" w:cs="TimesNewRomanPSMT"/>
          <w:sz w:val="28"/>
          <w:szCs w:val="28"/>
        </w:rPr>
        <w:t>упражнения в графике(4-5)</w:t>
      </w:r>
    </w:p>
    <w:p w:rsidR="0097771B" w:rsidRDefault="0097771B" w:rsidP="0097771B">
      <w:pPr>
        <w:rPr>
          <w:rFonts w:ascii="TimesNewRomanPSMT" w:hAnsi="TimesNewRomanPSMT" w:cs="TimesNewRomanPSMT"/>
          <w:sz w:val="28"/>
          <w:szCs w:val="28"/>
        </w:rPr>
      </w:pPr>
      <w:r>
        <w:rPr>
          <w:rFonts w:ascii="SymbolMT" w:hAnsi="SymbolMT" w:cs="SymbolMT"/>
          <w:sz w:val="28"/>
          <w:szCs w:val="28"/>
        </w:rPr>
        <w:t xml:space="preserve">• </w:t>
      </w:r>
      <w:r>
        <w:rPr>
          <w:rFonts w:ascii="TimesNewRomanPSMT" w:hAnsi="TimesNewRomanPSMT" w:cs="TimesNewRomanPSMT"/>
          <w:sz w:val="28"/>
          <w:szCs w:val="28"/>
        </w:rPr>
        <w:t>упражнения в цвете</w:t>
      </w:r>
    </w:p>
    <w:p w:rsidR="00EC1ADA" w:rsidRDefault="00EC1ADA" w:rsidP="00EC1AD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 </w:t>
      </w:r>
      <w:r w:rsidRPr="00EC1ADA">
        <w:rPr>
          <w:rFonts w:ascii="Times New Roman" w:hAnsi="Times New Roman" w:cs="Times New Roman"/>
          <w:sz w:val="28"/>
          <w:szCs w:val="28"/>
        </w:rPr>
        <w:t xml:space="preserve">Место площадки в городской структуре Детские игровые площадки являются составной частью всех градостроительных структурных образований: от жилой группы до микрорайона, жилого района, парка, города и даже пригородной зоны. В зависимости от места в структуре города детская площадка выполняет определённые функции. Небольшая площадка перед жилым домом – это место, где дети удовлетворяют свои потребности в движении, находятся на свежем воздухе в непродолжительный период времени, под наблюдением «из окна», так как в основном этими площадками пользуются маленькие дети. Площадка микрорайона – сооружение более ответственное. Сюда собирается большое количество детей от 3 до 14 лет. Эта площадка должна выполнять не только «физическую» функцию, но и смысловую, и информационную и т.п. Здесь имеет смысл создать тематическую площадку, посвящённую большой игре, чтобы игровые площадки микрорайонов составляли комплекс интересных и неповторимых игр, где экономически выгодно применять сложное, интенсивно используемое оборудование. Процесс проектирования Сущность реального проектирования заключается в создании проектной модели объекта. Моделирование охватывает работу архитектора от первого наброска и 7 эскиза до составления рабочего проекта, необходимого для осуществления решения в натуре. Площадка будет интересной, если весь замысел подчинить одной идее </w:t>
      </w:r>
      <w:proofErr w:type="gramStart"/>
      <w:r w:rsidRPr="00EC1ADA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EC1ADA">
        <w:rPr>
          <w:rFonts w:ascii="Times New Roman" w:hAnsi="Times New Roman" w:cs="Times New Roman"/>
          <w:sz w:val="28"/>
          <w:szCs w:val="28"/>
        </w:rPr>
        <w:t>интересной игре), которая может увлечь юных посетителей площадки.</w:t>
      </w:r>
    </w:p>
    <w:p w:rsidR="00EC1ADA" w:rsidRPr="00EC1ADA" w:rsidRDefault="00EC1ADA" w:rsidP="00EC1ADA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</w:t>
      </w:r>
      <w:r w:rsidRPr="00EC1ADA">
        <w:rPr>
          <w:rFonts w:ascii="Times New Roman" w:hAnsi="Times New Roman" w:cs="Times New Roman"/>
          <w:sz w:val="28"/>
          <w:szCs w:val="28"/>
        </w:rPr>
        <w:t xml:space="preserve">Исследование по теме Основной задачей этого периода работы является накопление информации по данному вопросу и её преобразование. Информация – источник новых мыслей и идей. Необходимо ознакомиться с предшествующим опытом проектирования и строительства детских игровых комплексов у нас в стране и за рубежом. При просмотре литературы по </w:t>
      </w:r>
      <w:r w:rsidRPr="00EC1ADA">
        <w:rPr>
          <w:rFonts w:ascii="Times New Roman" w:hAnsi="Times New Roman" w:cs="Times New Roman"/>
          <w:sz w:val="28"/>
          <w:szCs w:val="28"/>
        </w:rPr>
        <w:lastRenderedPageBreak/>
        <w:t>архитектуре необходимо обратить особое внимание на то, чем достигается выражение замысла, его оригинальность, художественный образ, каковы гармонический строй и пропорции архитектурного сооружения. Очень важно сделать зарисовки интересных решений, а также зафиксировать в рисунках свои мысли, возникшие во время просмотра. В качестве литературных источников могут привлекаться книги не только по архитектуре, но и проблемам детской психологии, педагогики, теории игр, просто детские книжки, в которых много фантазии, которыми дети «зачитываются». Необходимо наблюдать за детьми, за их восприятием тех или иных событий. Можно воспользоваться наблюдениями, которые у вас уже есть, или понаблюдать за игрой детей, их взаимоотношениями на детских площадках города. 8 Детская игровая площадка в своих структурных характеристиках – это система визуально воспринимаемых пространств, составляющие моменты которых взаимодействуют на основе определённых закономерностей. К числу закономерностей объёмно-пространственной композиции (их называют также средствами композиции) относятся: • закономерности внутренней структуры объёмных тел; • тектонические закономерности. • метр и ритм; • симметрия и асимметрия. • пропорциональная соразмерность. • контраст, нюанс, тождество. • масштабность. • закономерности цветовой гармонии. • синтез с другими видами искусств.</w:t>
      </w:r>
    </w:p>
    <w:p w:rsidR="004C0841" w:rsidRPr="00EC1ADA" w:rsidRDefault="00EC1ADA" w:rsidP="00EC1ADA">
      <w:p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     </w:t>
      </w:r>
      <w:r w:rsidRPr="00EC1ADA">
        <w:rPr>
          <w:rFonts w:ascii="Times New Roman" w:hAnsi="Times New Roman" w:cs="Times New Roman"/>
          <w:sz w:val="28"/>
          <w:szCs w:val="28"/>
        </w:rPr>
        <w:t>Перечисленными закономерностями определяются: • взаимное расположение объёмных тел в пространстве; • размерные соотношения элементов (поверхностей, объёмов, интервалов). • размерные соотношения между архитектурной средой и человеком. Путём сознательного отбора и применения перечисленных закономерностей архитектор (студент-проектировщик) целенаправленно создает задуманный архитектурный образ.</w:t>
      </w:r>
    </w:p>
    <w:sectPr w:rsidR="004C0841" w:rsidRPr="00EC1AD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imSun">
    <w:altName w:val="Arial Unicode MS"/>
    <w:panose1 w:val="02010600030101010101"/>
    <w:charset w:val="86"/>
    <w:family w:val="auto"/>
    <w:notTrueType/>
    <w:pitch w:val="variable"/>
    <w:sig w:usb0="00000000" w:usb1="080E0000" w:usb2="00000010" w:usb3="00000000" w:csb0="0004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imesNewRomanPS-BoldMT">
    <w:altName w:val="Times New Roman"/>
    <w:panose1 w:val="00000000000000000000"/>
    <w:charset w:val="00"/>
    <w:family w:val="roman"/>
    <w:notTrueType/>
    <w:pitch w:val="default"/>
    <w:sig w:usb0="00000201" w:usb1="00000000" w:usb2="00000000" w:usb3="00000000" w:csb0="00000005" w:csb1="00000000"/>
  </w:font>
  <w:font w:name="SymbolMT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MT">
    <w:altName w:val="Times New Roman"/>
    <w:panose1 w:val="00000000000000000000"/>
    <w:charset w:val="CC"/>
    <w:family w:val="auto"/>
    <w:notTrueType/>
    <w:pitch w:val="default"/>
    <w:sig w:usb0="00000001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0841"/>
    <w:rsid w:val="00106BE4"/>
    <w:rsid w:val="004C0841"/>
    <w:rsid w:val="006C15CE"/>
    <w:rsid w:val="0097771B"/>
    <w:rsid w:val="00C73A29"/>
    <w:rsid w:val="00E93E44"/>
    <w:rsid w:val="00E971B4"/>
    <w:rsid w:val="00EC1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558</Words>
  <Characters>3186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</Company>
  <LinksUpToDate>false</LinksUpToDate>
  <CharactersWithSpaces>3737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VNaumova</dc:creator>
  <cp:keywords/>
  <dc:description/>
  <cp:lastModifiedBy>Айнур Азангулова</cp:lastModifiedBy>
  <cp:revision>2</cp:revision>
  <dcterms:created xsi:type="dcterms:W3CDTF">2019-11-20T06:01:00Z</dcterms:created>
  <dcterms:modified xsi:type="dcterms:W3CDTF">2019-11-20T06:01:00Z</dcterms:modified>
</cp:coreProperties>
</file>